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A483" w14:textId="4CD10CE4" w:rsidR="00726BDC" w:rsidRDefault="00176DBF" w:rsidP="00871A10">
      <w:pPr>
        <w:spacing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Ficha de trabalho de </w:t>
      </w:r>
      <w:r w:rsidR="00726BDC">
        <w:rPr>
          <w:rFonts w:cstheme="minorHAnsi"/>
          <w:sz w:val="28"/>
          <w:szCs w:val="28"/>
        </w:rPr>
        <w:t>Cidadania e Desenvolvimento</w:t>
      </w:r>
    </w:p>
    <w:p w14:paraId="79E21D9F" w14:textId="531E1D6C" w:rsidR="00176DBF" w:rsidRDefault="00176DBF" w:rsidP="00871A10">
      <w:pPr>
        <w:spacing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Tema: Desigualdade de Género</w:t>
      </w:r>
    </w:p>
    <w:p w14:paraId="790C193E" w14:textId="77777777" w:rsidR="00A724DD" w:rsidRDefault="00871A10" w:rsidP="00871A10">
      <w:pPr>
        <w:spacing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Assimetrias de género nas escolhas vocacionais</w:t>
      </w:r>
    </w:p>
    <w:p w14:paraId="60314FB1" w14:textId="40DE61E6" w:rsidR="00871A10" w:rsidRDefault="00871A10" w:rsidP="00871A10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Questão 1 – Como </w:t>
      </w:r>
      <w:r w:rsidR="00124F40">
        <w:rPr>
          <w:rFonts w:cstheme="minorHAnsi"/>
          <w:sz w:val="28"/>
          <w:szCs w:val="28"/>
        </w:rPr>
        <w:t xml:space="preserve">consideras que </w:t>
      </w:r>
      <w:r>
        <w:rPr>
          <w:rFonts w:cstheme="minorHAnsi"/>
          <w:sz w:val="28"/>
          <w:szCs w:val="28"/>
        </w:rPr>
        <w:t>é distribuída a população feminina e a masculina nas diferente</w:t>
      </w:r>
      <w:r w:rsidR="00726BDC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áreas, em Portugal?</w:t>
      </w:r>
    </w:p>
    <w:p w14:paraId="2E5E90CB" w14:textId="4BA0C162" w:rsidR="00176DBF" w:rsidRDefault="00176DBF" w:rsidP="00871A10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Respostas da turma: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291"/>
        <w:gridCol w:w="2231"/>
        <w:gridCol w:w="2389"/>
      </w:tblGrid>
      <w:tr w:rsidR="00726BDC" w14:paraId="78EF1596" w14:textId="77777777" w:rsidTr="00726BDC">
        <w:tc>
          <w:tcPr>
            <w:tcW w:w="3369" w:type="dxa"/>
          </w:tcPr>
          <w:p w14:paraId="5ECB0FFE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Área científica</w:t>
            </w:r>
          </w:p>
        </w:tc>
        <w:tc>
          <w:tcPr>
            <w:tcW w:w="2291" w:type="dxa"/>
          </w:tcPr>
          <w:p w14:paraId="2F31632F" w14:textId="77777777" w:rsidR="00871A10" w:rsidRDefault="00726BDC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Maioritariamente feminina</w:t>
            </w:r>
          </w:p>
        </w:tc>
        <w:tc>
          <w:tcPr>
            <w:tcW w:w="2231" w:type="dxa"/>
          </w:tcPr>
          <w:p w14:paraId="14B6C8BC" w14:textId="77777777" w:rsidR="00871A10" w:rsidRDefault="00726BDC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Maioritariamente masculina</w:t>
            </w:r>
          </w:p>
        </w:tc>
        <w:tc>
          <w:tcPr>
            <w:tcW w:w="2389" w:type="dxa"/>
          </w:tcPr>
          <w:p w14:paraId="433F92CA" w14:textId="77777777" w:rsidR="00871A10" w:rsidRDefault="00726BDC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Aproximadamente igual</w:t>
            </w:r>
          </w:p>
        </w:tc>
      </w:tr>
      <w:tr w:rsidR="00726BDC" w14:paraId="5A208149" w14:textId="77777777" w:rsidTr="00726BDC">
        <w:tc>
          <w:tcPr>
            <w:tcW w:w="3369" w:type="dxa"/>
          </w:tcPr>
          <w:p w14:paraId="071C2344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Educação</w:t>
            </w:r>
          </w:p>
        </w:tc>
        <w:tc>
          <w:tcPr>
            <w:tcW w:w="2291" w:type="dxa"/>
          </w:tcPr>
          <w:p w14:paraId="5D81A046" w14:textId="1514F6BB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50EE7C97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682E7A8E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26BDC" w14:paraId="152A167B" w14:textId="77777777" w:rsidTr="00726BDC">
        <w:tc>
          <w:tcPr>
            <w:tcW w:w="3369" w:type="dxa"/>
          </w:tcPr>
          <w:p w14:paraId="2C0CB659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Saúde e Proteção social</w:t>
            </w:r>
          </w:p>
        </w:tc>
        <w:tc>
          <w:tcPr>
            <w:tcW w:w="2291" w:type="dxa"/>
          </w:tcPr>
          <w:p w14:paraId="7EBC2C3A" w14:textId="604A1469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13F99A3E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699F0906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26BDC" w14:paraId="646B2BD5" w14:textId="77777777" w:rsidTr="00726BDC">
        <w:tc>
          <w:tcPr>
            <w:tcW w:w="3369" w:type="dxa"/>
          </w:tcPr>
          <w:p w14:paraId="0AAD245C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Artes e Humanidades</w:t>
            </w:r>
          </w:p>
        </w:tc>
        <w:tc>
          <w:tcPr>
            <w:tcW w:w="2291" w:type="dxa"/>
          </w:tcPr>
          <w:p w14:paraId="2F588F53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737F3BF1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732B6FC1" w14:textId="4D88308A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26BDC" w14:paraId="0C84C679" w14:textId="77777777" w:rsidTr="00726BDC">
        <w:tc>
          <w:tcPr>
            <w:tcW w:w="3369" w:type="dxa"/>
          </w:tcPr>
          <w:p w14:paraId="7E7D79CB" w14:textId="7127A491" w:rsidR="00871A10" w:rsidRDefault="00726BDC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Ciências Sociais,</w:t>
            </w:r>
            <w:r w:rsidR="00176DBF">
              <w:rPr>
                <w:rFonts w:cstheme="minorHAnsi"/>
                <w:sz w:val="28"/>
                <w:szCs w:val="28"/>
              </w:rPr>
              <w:t xml:space="preserve"> </w:t>
            </w:r>
            <w:r w:rsidR="00871A10">
              <w:rPr>
                <w:rFonts w:cstheme="minorHAnsi"/>
                <w:sz w:val="28"/>
                <w:szCs w:val="28"/>
              </w:rPr>
              <w:t>Comércio e Direito</w:t>
            </w:r>
          </w:p>
        </w:tc>
        <w:tc>
          <w:tcPr>
            <w:tcW w:w="2291" w:type="dxa"/>
          </w:tcPr>
          <w:p w14:paraId="2EB664C5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2644B581" w14:textId="14FDEDFE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34F3EAD5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26BDC" w14:paraId="42A6E6C9" w14:textId="77777777" w:rsidTr="00726BDC">
        <w:tc>
          <w:tcPr>
            <w:tcW w:w="3369" w:type="dxa"/>
          </w:tcPr>
          <w:p w14:paraId="5CBEC24F" w14:textId="77777777" w:rsidR="00871A10" w:rsidRDefault="00726BDC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Engenharia</w:t>
            </w:r>
          </w:p>
        </w:tc>
        <w:tc>
          <w:tcPr>
            <w:tcW w:w="2291" w:type="dxa"/>
          </w:tcPr>
          <w:p w14:paraId="1D312CF0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0295BDAC" w14:textId="6C9FE7B0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459A11BA" w14:textId="77777777" w:rsidR="00871A10" w:rsidRDefault="00871A10" w:rsidP="00871A10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17F0922D" w14:textId="455B8D34" w:rsidR="00871A10" w:rsidRDefault="00871A10" w:rsidP="00871A1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4B41C1F" w14:textId="581AF144" w:rsidR="00176DBF" w:rsidRDefault="00176DBF" w:rsidP="00176DBF">
      <w:pPr>
        <w:spacing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Dados da Comissão para a Cidadania e Igualdade de Género</w:t>
      </w:r>
      <w:r w:rsidR="0052663F">
        <w:rPr>
          <w:rFonts w:cstheme="minorHAnsi"/>
          <w:sz w:val="28"/>
          <w:szCs w:val="28"/>
        </w:rPr>
        <w:t xml:space="preserve"> - </w:t>
      </w:r>
      <w:r>
        <w:rPr>
          <w:rFonts w:cstheme="minorHAnsi"/>
          <w:sz w:val="28"/>
          <w:szCs w:val="28"/>
        </w:rPr>
        <w:t xml:space="preserve">% de diplomados em 2004 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291"/>
        <w:gridCol w:w="2231"/>
        <w:gridCol w:w="2389"/>
      </w:tblGrid>
      <w:tr w:rsidR="00124F40" w14:paraId="675E4DD8" w14:textId="77777777" w:rsidTr="00FD395E">
        <w:tc>
          <w:tcPr>
            <w:tcW w:w="3369" w:type="dxa"/>
          </w:tcPr>
          <w:p w14:paraId="03248412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Área científica</w:t>
            </w:r>
          </w:p>
        </w:tc>
        <w:tc>
          <w:tcPr>
            <w:tcW w:w="2291" w:type="dxa"/>
          </w:tcPr>
          <w:p w14:paraId="2AEB511A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Maioritariamente feminina</w:t>
            </w:r>
          </w:p>
        </w:tc>
        <w:tc>
          <w:tcPr>
            <w:tcW w:w="2231" w:type="dxa"/>
          </w:tcPr>
          <w:p w14:paraId="20930C85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Maioritariamente masculina</w:t>
            </w:r>
          </w:p>
        </w:tc>
        <w:tc>
          <w:tcPr>
            <w:tcW w:w="2389" w:type="dxa"/>
          </w:tcPr>
          <w:p w14:paraId="44540C07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Aproximadamente igual</w:t>
            </w:r>
          </w:p>
        </w:tc>
      </w:tr>
      <w:tr w:rsidR="00124F40" w14:paraId="0E1C3E4A" w14:textId="77777777" w:rsidTr="00FD395E">
        <w:tc>
          <w:tcPr>
            <w:tcW w:w="3369" w:type="dxa"/>
          </w:tcPr>
          <w:p w14:paraId="27DD477D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Educação</w:t>
            </w:r>
          </w:p>
        </w:tc>
        <w:tc>
          <w:tcPr>
            <w:tcW w:w="2291" w:type="dxa"/>
          </w:tcPr>
          <w:p w14:paraId="6F0C4F17" w14:textId="77777777" w:rsidR="00124F40" w:rsidRDefault="00124F40" w:rsidP="00124F40">
            <w:pPr>
              <w:spacing w:line="360" w:lineRule="auto"/>
              <w:ind w:firstLine="708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86,3%</w:t>
            </w:r>
          </w:p>
        </w:tc>
        <w:tc>
          <w:tcPr>
            <w:tcW w:w="2231" w:type="dxa"/>
          </w:tcPr>
          <w:p w14:paraId="4643068A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145EA63D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24F40" w14:paraId="78D150E8" w14:textId="77777777" w:rsidTr="00FD395E">
        <w:tc>
          <w:tcPr>
            <w:tcW w:w="3369" w:type="dxa"/>
          </w:tcPr>
          <w:p w14:paraId="6C8E6556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Saúde e Proteção social</w:t>
            </w:r>
          </w:p>
        </w:tc>
        <w:tc>
          <w:tcPr>
            <w:tcW w:w="2291" w:type="dxa"/>
          </w:tcPr>
          <w:p w14:paraId="2DD286E2" w14:textId="77777777" w:rsidR="00124F40" w:rsidRDefault="00124F40" w:rsidP="00124F4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79,8%</w:t>
            </w:r>
          </w:p>
        </w:tc>
        <w:tc>
          <w:tcPr>
            <w:tcW w:w="2231" w:type="dxa"/>
          </w:tcPr>
          <w:p w14:paraId="008D62A6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4B0E25EA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24F40" w14:paraId="2C3A3838" w14:textId="77777777" w:rsidTr="00FD395E">
        <w:tc>
          <w:tcPr>
            <w:tcW w:w="3369" w:type="dxa"/>
          </w:tcPr>
          <w:p w14:paraId="1119C3DA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Artes e Humanidades</w:t>
            </w:r>
          </w:p>
        </w:tc>
        <w:tc>
          <w:tcPr>
            <w:tcW w:w="2291" w:type="dxa"/>
          </w:tcPr>
          <w:p w14:paraId="247B4782" w14:textId="77777777" w:rsidR="00124F40" w:rsidRDefault="00124F40" w:rsidP="00124F4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66,5%</w:t>
            </w:r>
          </w:p>
        </w:tc>
        <w:tc>
          <w:tcPr>
            <w:tcW w:w="2231" w:type="dxa"/>
          </w:tcPr>
          <w:p w14:paraId="2872FA61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5DFC1EE6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24F40" w14:paraId="77FA497A" w14:textId="77777777" w:rsidTr="00FD395E">
        <w:tc>
          <w:tcPr>
            <w:tcW w:w="3369" w:type="dxa"/>
          </w:tcPr>
          <w:p w14:paraId="508B8DF1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Ciências Sociais, Comércio e Direito</w:t>
            </w:r>
          </w:p>
        </w:tc>
        <w:tc>
          <w:tcPr>
            <w:tcW w:w="2291" w:type="dxa"/>
          </w:tcPr>
          <w:p w14:paraId="14D128FA" w14:textId="77777777" w:rsidR="00124F40" w:rsidRDefault="00124F40" w:rsidP="00124F4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64,9%</w:t>
            </w:r>
          </w:p>
        </w:tc>
        <w:tc>
          <w:tcPr>
            <w:tcW w:w="2231" w:type="dxa"/>
          </w:tcPr>
          <w:p w14:paraId="371DAACE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9" w:type="dxa"/>
          </w:tcPr>
          <w:p w14:paraId="082E6C38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24F40" w14:paraId="0945B555" w14:textId="77777777" w:rsidTr="00FD395E">
        <w:tc>
          <w:tcPr>
            <w:tcW w:w="3369" w:type="dxa"/>
          </w:tcPr>
          <w:p w14:paraId="57E1C2CF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Engenharia</w:t>
            </w:r>
          </w:p>
        </w:tc>
        <w:tc>
          <w:tcPr>
            <w:tcW w:w="2291" w:type="dxa"/>
          </w:tcPr>
          <w:p w14:paraId="0AFB51D9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1" w:type="dxa"/>
          </w:tcPr>
          <w:p w14:paraId="667FB2B8" w14:textId="77777777" w:rsidR="00124F40" w:rsidRDefault="00124F40" w:rsidP="00124F4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66,6%</w:t>
            </w:r>
          </w:p>
        </w:tc>
        <w:tc>
          <w:tcPr>
            <w:tcW w:w="2389" w:type="dxa"/>
          </w:tcPr>
          <w:p w14:paraId="4BF82239" w14:textId="77777777" w:rsidR="00124F40" w:rsidRDefault="00124F40" w:rsidP="00FD395E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7A2BBCCF" w14:textId="77777777" w:rsidR="0052663F" w:rsidRDefault="0052663F" w:rsidP="00726BD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2A3810EC" w14:textId="57FF59FA" w:rsidR="00871A10" w:rsidRDefault="00726BDC" w:rsidP="0052663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Questão 2 – Dá exemplo de profissões:</w:t>
      </w:r>
    </w:p>
    <w:p w14:paraId="43EDED80" w14:textId="211B25A6" w:rsidR="00726BDC" w:rsidRDefault="00726BDC" w:rsidP="0052663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Maioritariamente desempenhadas pelo género</w:t>
      </w:r>
      <w:r w:rsidR="00124F4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masculino:</w:t>
      </w:r>
      <w:r w:rsidR="001A3C56">
        <w:rPr>
          <w:rFonts w:cstheme="minorHAnsi"/>
          <w:sz w:val="28"/>
          <w:szCs w:val="28"/>
        </w:rPr>
        <w:t xml:space="preserve"> </w:t>
      </w:r>
    </w:p>
    <w:p w14:paraId="19BD1115" w14:textId="2DFE93CA" w:rsidR="00726BDC" w:rsidRDefault="00726BDC" w:rsidP="0052663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Maioritariamente desempenhadas pelo género feminino:</w:t>
      </w:r>
      <w:r w:rsidR="001A3C56">
        <w:rPr>
          <w:rFonts w:cstheme="minorHAnsi"/>
          <w:sz w:val="28"/>
          <w:szCs w:val="28"/>
        </w:rPr>
        <w:t xml:space="preserve"> </w:t>
      </w:r>
    </w:p>
    <w:p w14:paraId="462A32E9" w14:textId="6E532DCF" w:rsidR="00726BDC" w:rsidRDefault="00726BDC" w:rsidP="0052663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 valores aproximadamente iguais dos dois géneros:</w:t>
      </w:r>
    </w:p>
    <w:p w14:paraId="1C2FF8A8" w14:textId="77777777" w:rsidR="00871A10" w:rsidRDefault="00871A10" w:rsidP="00871A10">
      <w:pPr>
        <w:spacing w:line="360" w:lineRule="auto"/>
        <w:jc w:val="center"/>
        <w:rPr>
          <w:rFonts w:cstheme="minorHAnsi"/>
          <w:sz w:val="28"/>
          <w:szCs w:val="28"/>
        </w:rPr>
      </w:pPr>
      <w:r>
        <w:rPr>
          <w:noProof/>
          <w:lang w:eastAsia="pt-PT"/>
        </w:rPr>
        <w:drawing>
          <wp:inline distT="0" distB="0" distL="0" distR="0" wp14:anchorId="42F990B4" wp14:editId="7B312F11">
            <wp:extent cx="4314697" cy="5229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697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F0FD" w14:textId="699E35F7" w:rsidR="00965D68" w:rsidRDefault="0052663F" w:rsidP="0052663F">
      <w:pPr>
        <w:tabs>
          <w:tab w:val="left" w:pos="6755"/>
        </w:tabs>
        <w:jc w:val="center"/>
        <w:rPr>
          <w:rFonts w:cstheme="minorHAnsi"/>
          <w:sz w:val="28"/>
          <w:szCs w:val="28"/>
        </w:rPr>
      </w:pPr>
      <w:r>
        <w:rPr>
          <w:noProof/>
          <w:lang w:eastAsia="pt-PT"/>
        </w:rPr>
        <w:drawing>
          <wp:inline distT="0" distB="0" distL="0" distR="0" wp14:anchorId="4A4F245B" wp14:editId="59329804">
            <wp:extent cx="4467225" cy="18288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D1A30" w14:textId="77777777" w:rsidR="00965D68" w:rsidRDefault="00965D68" w:rsidP="0052663F">
      <w:pPr>
        <w:tabs>
          <w:tab w:val="left" w:pos="4182"/>
        </w:tabs>
        <w:jc w:val="center"/>
        <w:rPr>
          <w:rFonts w:cstheme="minorHAnsi"/>
          <w:sz w:val="28"/>
          <w:szCs w:val="28"/>
        </w:rPr>
      </w:pPr>
      <w:r>
        <w:rPr>
          <w:noProof/>
          <w:lang w:eastAsia="pt-PT"/>
        </w:rPr>
        <w:lastRenderedPageBreak/>
        <w:drawing>
          <wp:inline distT="0" distB="0" distL="0" distR="0" wp14:anchorId="786383C9" wp14:editId="6824AF6A">
            <wp:extent cx="6088828" cy="3694771"/>
            <wp:effectExtent l="0" t="0" r="762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2384" cy="370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CADF6" w14:textId="0166401F" w:rsidR="009A5788" w:rsidRDefault="0052663F" w:rsidP="00965D68">
      <w:pPr>
        <w:tabs>
          <w:tab w:val="left" w:pos="3068"/>
        </w:tabs>
        <w:jc w:val="both"/>
        <w:rPr>
          <w:rStyle w:val="Hiperligao"/>
          <w:rFonts w:cstheme="minorHAnsi"/>
          <w:sz w:val="28"/>
          <w:szCs w:val="28"/>
        </w:rPr>
      </w:pPr>
      <w:r>
        <w:t xml:space="preserve">Fonte: </w:t>
      </w:r>
      <w:hyperlink r:id="rId11" w:history="1">
        <w:r w:rsidRPr="00402057">
          <w:rPr>
            <w:rStyle w:val="Hiperligao"/>
            <w:rFonts w:cstheme="minorHAnsi"/>
            <w:sz w:val="28"/>
            <w:szCs w:val="28"/>
          </w:rPr>
          <w:t>https://www.pordata.pt/DB/Portugal/Ambiente+de+Consulta/Gr%C3%A1fico</w:t>
        </w:r>
      </w:hyperlink>
    </w:p>
    <w:p w14:paraId="304781D2" w14:textId="77777777" w:rsidR="009A5788" w:rsidRDefault="009A5788" w:rsidP="009A5788">
      <w:pPr>
        <w:tabs>
          <w:tab w:val="left" w:pos="3068"/>
        </w:tabs>
        <w:jc w:val="center"/>
        <w:rPr>
          <w:rStyle w:val="Hiperligao"/>
          <w:rFonts w:cstheme="minorHAnsi"/>
          <w:sz w:val="28"/>
          <w:szCs w:val="28"/>
        </w:rPr>
      </w:pPr>
    </w:p>
    <w:p w14:paraId="3461FD52" w14:textId="77777777" w:rsidR="009A5788" w:rsidRDefault="009A5788" w:rsidP="009A5788">
      <w:pPr>
        <w:tabs>
          <w:tab w:val="left" w:pos="3068"/>
        </w:tabs>
        <w:jc w:val="center"/>
        <w:rPr>
          <w:rStyle w:val="Hiperligao"/>
          <w:rFonts w:cstheme="minorHAnsi"/>
          <w:sz w:val="28"/>
          <w:szCs w:val="28"/>
        </w:rPr>
      </w:pPr>
    </w:p>
    <w:p w14:paraId="5591E35D" w14:textId="77777777" w:rsidR="00760117" w:rsidRDefault="009A5788" w:rsidP="00760117">
      <w:pPr>
        <w:tabs>
          <w:tab w:val="left" w:pos="3068"/>
        </w:tabs>
        <w:jc w:val="center"/>
        <w:rPr>
          <w:rStyle w:val="Hiperligao"/>
          <w:rFonts w:cstheme="minorHAnsi"/>
          <w:color w:val="auto"/>
          <w:sz w:val="28"/>
          <w:szCs w:val="28"/>
          <w:u w:val="none"/>
        </w:rPr>
      </w:pPr>
      <w:r w:rsidRPr="009A5788">
        <w:rPr>
          <w:rStyle w:val="Hiperligao"/>
          <w:rFonts w:cstheme="minorHAnsi"/>
          <w:color w:val="auto"/>
          <w:sz w:val="28"/>
          <w:szCs w:val="28"/>
          <w:u w:val="none"/>
        </w:rPr>
        <w:t>Taxa de masculinidade – nº de homens por cada 100 mulheres (Portugal)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1850"/>
        <w:gridCol w:w="1850"/>
      </w:tblGrid>
      <w:tr w:rsidR="00760117" w:rsidRPr="00760117" w14:paraId="491A5DFF" w14:textId="77777777" w:rsidTr="00760117">
        <w:trPr>
          <w:trHeight w:val="255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884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2CB7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3D60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60117" w:rsidRPr="00760117" w14:paraId="7D775317" w14:textId="77777777" w:rsidTr="00760117">
        <w:trPr>
          <w:trHeight w:val="259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4DC7A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601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PT"/>
              </w:rPr>
              <w:t>Relação de masculinidade: total e por grupo etário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E9D2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EB49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60117" w:rsidRPr="00760117" w14:paraId="53FC193A" w14:textId="77777777" w:rsidTr="00760117">
        <w:trPr>
          <w:trHeight w:val="259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B980F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760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Fontes de Dados: INE - Estimativas Anuais da População Residente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5748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B35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60117" w:rsidRPr="00760117" w14:paraId="665E7508" w14:textId="77777777" w:rsidTr="00760117">
        <w:trPr>
          <w:trHeight w:val="259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0B258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760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Fonte: PORDATA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9F80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0EB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60117" w:rsidRPr="00760117" w14:paraId="56C65DAD" w14:textId="77777777" w:rsidTr="00760117">
        <w:trPr>
          <w:trHeight w:val="259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C8FB1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760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Última </w:t>
            </w:r>
            <w:proofErr w:type="spellStart"/>
            <w:r w:rsidRPr="00760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actualização</w:t>
            </w:r>
            <w:proofErr w:type="spellEnd"/>
            <w:r w:rsidRPr="00760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: 2020-06-15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66B2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9C00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60117" w:rsidRPr="00760117" w14:paraId="45DE2672" w14:textId="77777777" w:rsidTr="00760117">
        <w:trPr>
          <w:trHeight w:val="255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019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84A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41E" w14:textId="77777777" w:rsidR="00760117" w:rsidRPr="00760117" w:rsidRDefault="00760117" w:rsidP="007601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14:paraId="680EF1BC" w14:textId="58CC4E8F" w:rsidR="009A5788" w:rsidRPr="00760117" w:rsidRDefault="009A5788" w:rsidP="00760117">
      <w:pPr>
        <w:tabs>
          <w:tab w:val="left" w:pos="3068"/>
        </w:tabs>
        <w:rPr>
          <w:rStyle w:val="Hiperligao"/>
          <w:rFonts w:cstheme="minorHAnsi"/>
          <w:color w:val="auto"/>
          <w:sz w:val="28"/>
          <w:szCs w:val="28"/>
          <w:u w:val="none"/>
        </w:rPr>
      </w:pPr>
      <w:r w:rsidRPr="009A578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3BCF" wp14:editId="0CAB2A8F">
                <wp:simplePos x="0" y="0"/>
                <wp:positionH relativeFrom="column">
                  <wp:posOffset>2847975</wp:posOffset>
                </wp:positionH>
                <wp:positionV relativeFrom="paragraph">
                  <wp:posOffset>312420</wp:posOffset>
                </wp:positionV>
                <wp:extent cx="3009900" cy="2096135"/>
                <wp:effectExtent l="0" t="0" r="19050" b="1841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360" w:type="dxa"/>
                              <w:jc w:val="right"/>
                              <w:tblInd w:w="3236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  <w:gridCol w:w="2180"/>
                            </w:tblGrid>
                            <w:tr w:rsidR="009A5788" w:rsidRPr="009A5788" w14:paraId="1A7628BA" w14:textId="77777777" w:rsidTr="009A5788">
                              <w:trPr>
                                <w:trHeight w:val="863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DDDDDD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0B6C2"/>
                                  <w:vAlign w:val="center"/>
                                  <w:hideMark/>
                                </w:tcPr>
                                <w:p w14:paraId="58B4687E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15-19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DDDDDD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0B6C2"/>
                                  <w:vAlign w:val="center"/>
                                  <w:hideMark/>
                                </w:tcPr>
                                <w:p w14:paraId="1C1987A9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20-24</w:t>
                                  </w:r>
                                </w:p>
                              </w:tc>
                            </w:tr>
                            <w:tr w:rsidR="009A5788" w:rsidRPr="009A5788" w14:paraId="352A5ACD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4205223D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103,1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59FF609D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101,8</w:t>
                                  </w:r>
                                </w:p>
                              </w:tc>
                            </w:tr>
                            <w:tr w:rsidR="009A5788" w:rsidRPr="009A5788" w14:paraId="5073E622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34EA364D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103,9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1831FAEC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102,3</w:t>
                                  </w:r>
                                </w:p>
                              </w:tc>
                            </w:tr>
                            <w:tr w:rsidR="009A5788" w:rsidRPr="009A5788" w14:paraId="40151390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09507B40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104,6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6F94F201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102,1</w:t>
                                  </w:r>
                                </w:p>
                              </w:tc>
                            </w:tr>
                            <w:tr w:rsidR="009A5788" w:rsidRPr="009A5788" w14:paraId="713DC86E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039C5741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104,2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1FCC0739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103,0</w:t>
                                  </w:r>
                                </w:p>
                              </w:tc>
                            </w:tr>
                            <w:tr w:rsidR="009A5788" w:rsidRPr="009A5788" w14:paraId="3650BF7E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6A3F2309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104,3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133012DF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101,5</w:t>
                                  </w:r>
                                </w:p>
                              </w:tc>
                            </w:tr>
                            <w:tr w:rsidR="009A5788" w:rsidRPr="009A5788" w14:paraId="18ED5C4B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52CF0D61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104,3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6C411C73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102,4</w:t>
                                  </w:r>
                                </w:p>
                              </w:tc>
                            </w:tr>
                            <w:tr w:rsidR="009A5788" w:rsidRPr="009A5788" w14:paraId="2FB2E5C3" w14:textId="77777777" w:rsidTr="009A5788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EDEDED"/>
                                  <w:hideMark/>
                                </w:tcPr>
                                <w:p w14:paraId="64FA6E1A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104,4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EDEDED"/>
                                  <w:hideMark/>
                                </w:tcPr>
                                <w:p w14:paraId="765ED8DF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 xml:space="preserve"> 102,6</w:t>
                                  </w:r>
                                </w:p>
                              </w:tc>
                            </w:tr>
                          </w:tbl>
                          <w:p w14:paraId="75BA3FBF" w14:textId="4CA78899" w:rsidR="009A5788" w:rsidRDefault="009A5788"/>
                          <w:p w14:paraId="10FDF8B4" w14:textId="77777777" w:rsidR="009A5788" w:rsidRDefault="009A5788"/>
                          <w:p w14:paraId="7A3ACBFC" w14:textId="77777777" w:rsidR="009A5788" w:rsidRDefault="009A5788"/>
                          <w:p w14:paraId="3D55A7A1" w14:textId="5A42B85C" w:rsidR="009A5788" w:rsidRDefault="009A5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4.25pt;margin-top:24.6pt;width:237pt;height:1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">
                <v:textbox>
                  <w:txbxContent>
                    <w:tbl>
                      <w:tblPr>
                        <w:tblW w:w="4360" w:type="dxa"/>
                        <w:jc w:val="right"/>
                        <w:tblInd w:w="3236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80"/>
                        <w:gridCol w:w="2180"/>
                      </w:tblGrid>
                      <w:tr w:rsidR="009A5788" w:rsidRPr="009A5788" w14:paraId="1A7628BA" w14:textId="77777777" w:rsidTr="009A5788">
                        <w:trPr>
                          <w:trHeight w:val="863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DDDDDD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0B6C2"/>
                            <w:vAlign w:val="center"/>
                            <w:hideMark/>
                          </w:tcPr>
                          <w:p w14:paraId="58B4687E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15-19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sz="4" w:space="0" w:color="DDDDDD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0B6C2"/>
                            <w:vAlign w:val="center"/>
                            <w:hideMark/>
                          </w:tcPr>
                          <w:p w14:paraId="1C1987A9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20-24</w:t>
                            </w:r>
                          </w:p>
                        </w:tc>
                      </w:tr>
                      <w:tr w:rsidR="009A5788" w:rsidRPr="009A5788" w14:paraId="352A5ACD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4205223D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103,1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59FF609D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101,8</w:t>
                            </w:r>
                          </w:p>
                        </w:tc>
                      </w:tr>
                      <w:tr w:rsidR="009A5788" w:rsidRPr="009A5788" w14:paraId="5073E622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34EA364D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103,9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1831FAEC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102,3</w:t>
                            </w:r>
                          </w:p>
                        </w:tc>
                      </w:tr>
                      <w:tr w:rsidR="009A5788" w:rsidRPr="009A5788" w14:paraId="40151390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09507B40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104,6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6F94F201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102,1</w:t>
                            </w:r>
                          </w:p>
                        </w:tc>
                      </w:tr>
                      <w:tr w:rsidR="009A5788" w:rsidRPr="009A5788" w14:paraId="713DC86E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039C5741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104,2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1FCC0739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103,0</w:t>
                            </w:r>
                          </w:p>
                        </w:tc>
                      </w:tr>
                      <w:tr w:rsidR="009A5788" w:rsidRPr="009A5788" w14:paraId="3650BF7E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6A3F2309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104,3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133012DF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101,5</w:t>
                            </w:r>
                          </w:p>
                        </w:tc>
                      </w:tr>
                      <w:tr w:rsidR="009A5788" w:rsidRPr="009A5788" w14:paraId="18ED5C4B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52CF0D61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104,3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6C411C73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102,4</w:t>
                            </w:r>
                          </w:p>
                        </w:tc>
                      </w:tr>
                      <w:tr w:rsidR="009A5788" w:rsidRPr="009A5788" w14:paraId="2FB2E5C3" w14:textId="77777777" w:rsidTr="009A5788">
                        <w:trPr>
                          <w:trHeight w:val="255"/>
                          <w:jc w:val="right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EDEDED"/>
                            <w:hideMark/>
                          </w:tcPr>
                          <w:p w14:paraId="64FA6E1A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104,4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EDEDED"/>
                            <w:hideMark/>
                          </w:tcPr>
                          <w:p w14:paraId="765ED8DF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 102,6</w:t>
                            </w:r>
                          </w:p>
                        </w:tc>
                      </w:tr>
                    </w:tbl>
                    <w:p w14:paraId="75BA3FBF" w14:textId="4CA78899" w:rsidR="009A5788" w:rsidRDefault="009A5788"/>
                    <w:p w14:paraId="10FDF8B4" w14:textId="77777777" w:rsidR="009A5788" w:rsidRDefault="009A5788"/>
                    <w:p w14:paraId="7A3ACBFC" w14:textId="77777777" w:rsidR="009A5788" w:rsidRDefault="009A5788"/>
                    <w:p w14:paraId="3D55A7A1" w14:textId="5A42B85C" w:rsidR="009A5788" w:rsidRDefault="009A5788"/>
                  </w:txbxContent>
                </v:textbox>
              </v:shape>
            </w:pict>
          </mc:Fallback>
        </mc:AlternateContent>
      </w:r>
    </w:p>
    <w:p w14:paraId="3B1E3F83" w14:textId="3943AE0D" w:rsidR="00CE5117" w:rsidRDefault="00CE5117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1F00B702" w14:textId="5EEEDD43" w:rsidR="009A5788" w:rsidRDefault="009A5788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  <w:r w:rsidRPr="009A5788">
        <w:rPr>
          <w:rStyle w:val="Hiperligao"/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73505" wp14:editId="1D8C73E9">
                <wp:simplePos x="0" y="0"/>
                <wp:positionH relativeFrom="column">
                  <wp:posOffset>285115</wp:posOffset>
                </wp:positionH>
                <wp:positionV relativeFrom="paragraph">
                  <wp:posOffset>194310</wp:posOffset>
                </wp:positionV>
                <wp:extent cx="1538605" cy="1293495"/>
                <wp:effectExtent l="0" t="0" r="23495" b="2095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18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</w:tblGrid>
                            <w:tr w:rsidR="009A5788" w:rsidRPr="009A5788" w14:paraId="004630A5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DDDDDD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333E8377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1996</w:t>
                                  </w:r>
                                </w:p>
                              </w:tc>
                            </w:tr>
                            <w:tr w:rsidR="009A5788" w:rsidRPr="009A5788" w14:paraId="5D808E47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1FC4D733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9A5788" w:rsidRPr="009A5788" w14:paraId="359C0D08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27DF1E59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2004</w:t>
                                  </w:r>
                                </w:p>
                              </w:tc>
                            </w:tr>
                            <w:tr w:rsidR="009A5788" w:rsidRPr="009A5788" w14:paraId="0305FAC4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3EACB76F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2008</w:t>
                                  </w:r>
                                </w:p>
                              </w:tc>
                            </w:tr>
                            <w:tr w:rsidR="009A5788" w:rsidRPr="009A5788" w14:paraId="0487799C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1771D1BA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 w:rsidR="009A5788" w:rsidRPr="009A5788" w14:paraId="2A7FD7FF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FFFFFF"/>
                                  <w:hideMark/>
                                </w:tcPr>
                                <w:p w14:paraId="5C510028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 w:rsidR="009A5788" w:rsidRPr="009A5788" w14:paraId="39748103" w14:textId="77777777" w:rsidTr="009A5788">
                              <w:trPr>
                                <w:trHeight w:val="255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tcBorders>
                                  <w:shd w:val="clear" w:color="000000" w:fill="EDEDED"/>
                                  <w:hideMark/>
                                </w:tcPr>
                                <w:p w14:paraId="058E26D6" w14:textId="77777777" w:rsidR="009A5788" w:rsidRPr="009A5788" w:rsidRDefault="009A5788" w:rsidP="009A5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</w:pPr>
                                  <w:r w:rsidRPr="009A578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pt-PT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</w:tbl>
                          <w:p w14:paraId="7A6D7DB5" w14:textId="13D3A212" w:rsidR="009A5788" w:rsidRDefault="009A5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45pt;margin-top:15.3pt;width:121.15pt;height:10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">
                <v:textbox>
                  <w:txbxContent>
                    <w:tbl>
                      <w:tblPr>
                        <w:tblW w:w="218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80"/>
                      </w:tblGrid>
                      <w:tr w:rsidR="009A5788" w:rsidRPr="009A5788" w14:paraId="004630A5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DDDDDD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333E8377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1996</w:t>
                            </w:r>
                          </w:p>
                        </w:tc>
                      </w:tr>
                      <w:tr w:rsidR="009A5788" w:rsidRPr="009A5788" w14:paraId="5D808E47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1FC4D733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2000</w:t>
                            </w:r>
                          </w:p>
                        </w:tc>
                      </w:tr>
                      <w:tr w:rsidR="009A5788" w:rsidRPr="009A5788" w14:paraId="359C0D08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27DF1E59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2004</w:t>
                            </w:r>
                          </w:p>
                        </w:tc>
                      </w:tr>
                      <w:tr w:rsidR="009A5788" w:rsidRPr="009A5788" w14:paraId="0305FAC4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3EACB76F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2008</w:t>
                            </w:r>
                          </w:p>
                        </w:tc>
                      </w:tr>
                      <w:tr w:rsidR="009A5788" w:rsidRPr="009A5788" w14:paraId="0487799C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1771D1BA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2012</w:t>
                            </w:r>
                          </w:p>
                        </w:tc>
                      </w:tr>
                      <w:tr w:rsidR="009A5788" w:rsidRPr="009A5788" w14:paraId="2A7FD7FF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FFFFFF"/>
                            <w:hideMark/>
                          </w:tcPr>
                          <w:p w14:paraId="5C510028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2016</w:t>
                            </w:r>
                          </w:p>
                        </w:tc>
                      </w:tr>
                      <w:tr w:rsidR="009A5788" w:rsidRPr="009A5788" w14:paraId="39748103" w14:textId="77777777" w:rsidTr="009A5788">
                        <w:trPr>
                          <w:trHeight w:val="255"/>
                        </w:trPr>
                        <w:tc>
                          <w:tcPr>
                            <w:tcW w:w="2180" w:type="dxa"/>
                            <w:tcBorders>
                              <w:top w:val="nil"/>
                              <w:left w:val="single" w:sz="4" w:space="0" w:color="DDDDDD"/>
                              <w:bottom w:val="single" w:sz="4" w:space="0" w:color="DDDDDD"/>
                              <w:right w:val="single" w:sz="4" w:space="0" w:color="DDDDDD"/>
                            </w:tcBorders>
                            <w:shd w:val="clear" w:color="000000" w:fill="EDEDED"/>
                            <w:hideMark/>
                          </w:tcPr>
                          <w:p w14:paraId="058E26D6" w14:textId="77777777" w:rsidR="009A5788" w:rsidRPr="009A5788" w:rsidRDefault="009A5788" w:rsidP="009A578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A57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2019</w:t>
                            </w:r>
                          </w:p>
                        </w:tc>
                      </w:tr>
                    </w:tbl>
                    <w:p w14:paraId="7A6D7DB5" w14:textId="13D3A212" w:rsidR="009A5788" w:rsidRDefault="009A5788"/>
                  </w:txbxContent>
                </v:textbox>
              </v:shape>
            </w:pict>
          </mc:Fallback>
        </mc:AlternateContent>
      </w:r>
    </w:p>
    <w:p w14:paraId="7979785A" w14:textId="77777777" w:rsidR="009A5788" w:rsidRDefault="009A5788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440B107A" w14:textId="77777777" w:rsidR="009A5788" w:rsidRDefault="009A5788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7783F4DB" w14:textId="77777777" w:rsidR="009A5788" w:rsidRDefault="009A5788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3B0DF819" w14:textId="77777777" w:rsidR="009A5788" w:rsidRDefault="009A5788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2BB54475" w14:textId="3CB4EA6B" w:rsidR="009A5788" w:rsidRDefault="00760117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Questão 3 – Que conclusões </w:t>
      </w:r>
      <w:proofErr w:type="gramStart"/>
      <w:r>
        <w:rPr>
          <w:rFonts w:cstheme="minorHAnsi"/>
          <w:sz w:val="28"/>
          <w:szCs w:val="28"/>
        </w:rPr>
        <w:t>podemos</w:t>
      </w:r>
      <w:proofErr w:type="gramEnd"/>
      <w:r>
        <w:rPr>
          <w:rFonts w:cstheme="minorHAnsi"/>
          <w:sz w:val="28"/>
          <w:szCs w:val="28"/>
        </w:rPr>
        <w:t xml:space="preserve"> tirar da análise do gráfico relativo ao nº de alunos matriculados pela primeira vez no ensino superior e da tabela relativa à taxa de masculinidade?</w:t>
      </w:r>
    </w:p>
    <w:p w14:paraId="0391D175" w14:textId="77777777" w:rsidR="00760117" w:rsidRDefault="00760117" w:rsidP="00965D68">
      <w:pPr>
        <w:tabs>
          <w:tab w:val="left" w:pos="3068"/>
        </w:tabs>
        <w:jc w:val="both"/>
        <w:rPr>
          <w:rFonts w:cstheme="minorHAnsi"/>
          <w:sz w:val="28"/>
          <w:szCs w:val="28"/>
        </w:rPr>
      </w:pPr>
    </w:p>
    <w:p w14:paraId="7EBEE088" w14:textId="08A85E8F" w:rsidR="00965D68" w:rsidRDefault="00CE5117" w:rsidP="00965D68">
      <w:pPr>
        <w:tabs>
          <w:tab w:val="left" w:pos="3068"/>
        </w:tabs>
        <w:rPr>
          <w:rFonts w:cstheme="minorHAnsi"/>
          <w:sz w:val="28"/>
          <w:szCs w:val="28"/>
        </w:rPr>
      </w:pPr>
      <w:r w:rsidRPr="00CE5117">
        <w:rPr>
          <w:rFonts w:cstheme="minorHAnsi"/>
          <w:noProof/>
          <w:sz w:val="28"/>
          <w:szCs w:val="28"/>
          <w:lang w:eastAsia="pt-PT"/>
        </w:rPr>
        <w:drawing>
          <wp:inline distT="0" distB="0" distL="0" distR="0" wp14:anchorId="3E403E82" wp14:editId="16E75CC7">
            <wp:extent cx="6390640" cy="40601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3880" w14:textId="77777777" w:rsidR="00CE5117" w:rsidRDefault="00CE5117" w:rsidP="00965D68">
      <w:pPr>
        <w:tabs>
          <w:tab w:val="left" w:pos="3068"/>
        </w:tabs>
        <w:rPr>
          <w:rFonts w:cstheme="minorHAnsi"/>
          <w:sz w:val="28"/>
          <w:szCs w:val="28"/>
        </w:rPr>
      </w:pPr>
    </w:p>
    <w:p w14:paraId="13A6454D" w14:textId="75C22348" w:rsidR="00D946EA" w:rsidRDefault="00CE5117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Questão</w:t>
      </w:r>
      <w:r w:rsidR="00760117">
        <w:rPr>
          <w:rFonts w:cstheme="minorHAnsi"/>
          <w:sz w:val="28"/>
          <w:szCs w:val="28"/>
        </w:rPr>
        <w:t xml:space="preserve"> </w:t>
      </w:r>
      <w:proofErr w:type="gramStart"/>
      <w:r w:rsidR="00760117">
        <w:rPr>
          <w:rFonts w:cstheme="minorHAnsi"/>
          <w:sz w:val="28"/>
          <w:szCs w:val="28"/>
        </w:rPr>
        <w:t>4–</w:t>
      </w:r>
      <w:proofErr w:type="gramEnd"/>
      <w:r w:rsidR="00760117">
        <w:rPr>
          <w:rFonts w:cstheme="minorHAnsi"/>
          <w:sz w:val="28"/>
          <w:szCs w:val="28"/>
        </w:rPr>
        <w:t xml:space="preserve"> Compara </w:t>
      </w:r>
      <w:r>
        <w:rPr>
          <w:rFonts w:cstheme="minorHAnsi"/>
          <w:sz w:val="28"/>
          <w:szCs w:val="28"/>
        </w:rPr>
        <w:t xml:space="preserve">o gráfico </w:t>
      </w:r>
      <w:r w:rsidR="00760117">
        <w:rPr>
          <w:rFonts w:cstheme="minorHAnsi"/>
          <w:sz w:val="28"/>
          <w:szCs w:val="28"/>
        </w:rPr>
        <w:t>relativo ao nº de alunos matriculados no ensino superior com a tabela que indica o número de professores/as a lecionar no ensino superior</w:t>
      </w:r>
      <w:r>
        <w:rPr>
          <w:rFonts w:cstheme="minorHAnsi"/>
          <w:sz w:val="28"/>
          <w:szCs w:val="28"/>
        </w:rPr>
        <w:t xml:space="preserve"> e refere as c</w:t>
      </w:r>
      <w:r w:rsidR="00D946EA">
        <w:rPr>
          <w:rFonts w:cstheme="minorHAnsi"/>
          <w:sz w:val="28"/>
          <w:szCs w:val="28"/>
        </w:rPr>
        <w:t xml:space="preserve">onclusões </w:t>
      </w:r>
      <w:r>
        <w:rPr>
          <w:rFonts w:cstheme="minorHAnsi"/>
          <w:sz w:val="28"/>
          <w:szCs w:val="28"/>
        </w:rPr>
        <w:t>que se podem tirar.</w:t>
      </w:r>
    </w:p>
    <w:p w14:paraId="1EE6E176" w14:textId="40EB8392" w:rsidR="00D946EA" w:rsidRDefault="00D946EA" w:rsidP="00965D68">
      <w:pPr>
        <w:tabs>
          <w:tab w:val="left" w:pos="3068"/>
        </w:tabs>
        <w:rPr>
          <w:rFonts w:cstheme="minorHAnsi"/>
          <w:sz w:val="28"/>
          <w:szCs w:val="28"/>
        </w:rPr>
      </w:pPr>
    </w:p>
    <w:p w14:paraId="26233C00" w14:textId="30C19C2D" w:rsidR="0052663F" w:rsidRDefault="0052663F" w:rsidP="00965D68">
      <w:pPr>
        <w:tabs>
          <w:tab w:val="left" w:pos="3068"/>
        </w:tabs>
        <w:rPr>
          <w:rFonts w:cstheme="minorHAnsi"/>
          <w:sz w:val="28"/>
          <w:szCs w:val="28"/>
        </w:rPr>
      </w:pPr>
    </w:p>
    <w:p w14:paraId="0E912B77" w14:textId="77777777" w:rsidR="0052663F" w:rsidRDefault="0052663F" w:rsidP="00965D68">
      <w:pPr>
        <w:tabs>
          <w:tab w:val="left" w:pos="3068"/>
        </w:tabs>
        <w:rPr>
          <w:rFonts w:cstheme="minorHAnsi"/>
          <w:sz w:val="28"/>
          <w:szCs w:val="28"/>
        </w:rPr>
      </w:pPr>
    </w:p>
    <w:p w14:paraId="7F187634" w14:textId="77777777" w:rsidR="00D946EA" w:rsidRDefault="00D946EA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Atividades: </w:t>
      </w:r>
    </w:p>
    <w:p w14:paraId="12C7AE75" w14:textId="118520D3" w:rsidR="00D946EA" w:rsidRDefault="00D946EA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1) Pesquisar, na PORDATA</w:t>
      </w:r>
      <w:r w:rsidR="003B47B5">
        <w:rPr>
          <w:rFonts w:cstheme="minorHAnsi"/>
          <w:sz w:val="28"/>
          <w:szCs w:val="28"/>
        </w:rPr>
        <w:t xml:space="preserve"> ( </w:t>
      </w:r>
      <w:hyperlink r:id="rId13" w:history="1">
        <w:r w:rsidR="003B47B5" w:rsidRPr="00402057">
          <w:rPr>
            <w:rStyle w:val="Hiperligao"/>
            <w:rFonts w:cstheme="minorHAnsi"/>
            <w:sz w:val="28"/>
            <w:szCs w:val="28"/>
          </w:rPr>
          <w:t>https://www.pordata.pt/Portugal</w:t>
        </w:r>
      </w:hyperlink>
      <w:r w:rsidR="003B47B5">
        <w:rPr>
          <w:rFonts w:cstheme="minorHAnsi"/>
          <w:sz w:val="28"/>
          <w:szCs w:val="28"/>
        </w:rPr>
        <w:t xml:space="preserve"> </w:t>
      </w:r>
      <w:r w:rsidR="00176DBF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</w:t>
      </w:r>
      <w:r w:rsidR="003B47B5">
        <w:rPr>
          <w:rFonts w:cstheme="minorHAnsi"/>
          <w:sz w:val="28"/>
          <w:szCs w:val="28"/>
        </w:rPr>
        <w:t xml:space="preserve">outros </w:t>
      </w:r>
      <w:r>
        <w:rPr>
          <w:rFonts w:cstheme="minorHAnsi"/>
          <w:sz w:val="28"/>
          <w:szCs w:val="28"/>
        </w:rPr>
        <w:t>dados referentes às desigualdades de género</w:t>
      </w:r>
      <w:r w:rsidR="00F26844">
        <w:rPr>
          <w:rFonts w:cstheme="minorHAnsi"/>
          <w:sz w:val="28"/>
          <w:szCs w:val="28"/>
        </w:rPr>
        <w:t>.</w:t>
      </w:r>
    </w:p>
    <w:p w14:paraId="7AE2124F" w14:textId="174D62FD" w:rsidR="00F26844" w:rsidRDefault="00F26844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2) Analisar e refletir sobre a desigualdade de género na realização das tarefas domésticas nas famílias portuguesas.</w:t>
      </w:r>
    </w:p>
    <w:p w14:paraId="2B7C8537" w14:textId="7A1A5C4C" w:rsidR="003B47B5" w:rsidRDefault="003B47B5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3) Analisar o seguinte site e explicar a situação do género feminino face à digitalização do trabalho.</w:t>
      </w:r>
    </w:p>
    <w:p w14:paraId="24F2DA72" w14:textId="723D21C9" w:rsidR="003B47B5" w:rsidRPr="00965D68" w:rsidRDefault="003B47B5" w:rsidP="00965D68">
      <w:pPr>
        <w:tabs>
          <w:tab w:val="left" w:pos="306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hyperlink r:id="rId14" w:history="1">
        <w:r w:rsidRPr="00B258A7">
          <w:rPr>
            <w:rStyle w:val="Hiperligao"/>
            <w:rFonts w:cstheme="minorHAnsi"/>
            <w:sz w:val="28"/>
            <w:szCs w:val="28"/>
          </w:rPr>
          <w:t>https://eige.europa.eu/news/gender-equality-index-2020-can-we-wait-60-more-years</w:t>
        </w:r>
      </w:hyperlink>
      <w:r>
        <w:rPr>
          <w:rFonts w:cstheme="minorHAnsi"/>
          <w:sz w:val="28"/>
          <w:szCs w:val="28"/>
        </w:rPr>
        <w:t xml:space="preserve"> , do</w:t>
      </w:r>
      <w:r w:rsidRPr="003B47B5">
        <w:rPr>
          <w:rFonts w:cstheme="minorHAnsi"/>
          <w:sz w:val="28"/>
          <w:szCs w:val="28"/>
        </w:rPr>
        <w:t xml:space="preserve"> </w:t>
      </w:r>
      <w:proofErr w:type="spellStart"/>
      <w:r w:rsidRPr="003B47B5">
        <w:rPr>
          <w:rFonts w:cstheme="minorHAnsi"/>
          <w:sz w:val="28"/>
          <w:szCs w:val="28"/>
        </w:rPr>
        <w:t>European</w:t>
      </w:r>
      <w:proofErr w:type="spellEnd"/>
      <w:r w:rsidRPr="003B47B5">
        <w:rPr>
          <w:rFonts w:cstheme="minorHAnsi"/>
          <w:sz w:val="28"/>
          <w:szCs w:val="28"/>
        </w:rPr>
        <w:t xml:space="preserve"> </w:t>
      </w:r>
      <w:proofErr w:type="spellStart"/>
      <w:r w:rsidRPr="003B47B5">
        <w:rPr>
          <w:rFonts w:cstheme="minorHAnsi"/>
          <w:sz w:val="28"/>
          <w:szCs w:val="28"/>
        </w:rPr>
        <w:t>Institute</w:t>
      </w:r>
      <w:proofErr w:type="spellEnd"/>
      <w:r w:rsidRPr="003B47B5">
        <w:rPr>
          <w:rFonts w:cstheme="minorHAnsi"/>
          <w:sz w:val="28"/>
          <w:szCs w:val="28"/>
        </w:rPr>
        <w:t xml:space="preserve"> for </w:t>
      </w:r>
      <w:proofErr w:type="spellStart"/>
      <w:r w:rsidRPr="003B47B5">
        <w:rPr>
          <w:rFonts w:cstheme="minorHAnsi"/>
          <w:sz w:val="28"/>
          <w:szCs w:val="28"/>
        </w:rPr>
        <w:t>Gender</w:t>
      </w:r>
      <w:proofErr w:type="spellEnd"/>
      <w:r w:rsidRPr="003B47B5">
        <w:rPr>
          <w:rFonts w:cstheme="minorHAnsi"/>
          <w:sz w:val="28"/>
          <w:szCs w:val="28"/>
        </w:rPr>
        <w:t xml:space="preserve"> </w:t>
      </w:r>
      <w:proofErr w:type="spellStart"/>
      <w:r w:rsidRPr="003B47B5">
        <w:rPr>
          <w:rFonts w:cstheme="minorHAnsi"/>
          <w:sz w:val="28"/>
          <w:szCs w:val="28"/>
        </w:rPr>
        <w:t>Equality</w:t>
      </w:r>
      <w:proofErr w:type="spellEnd"/>
      <w:r w:rsidRPr="003B47B5">
        <w:rPr>
          <w:rFonts w:cstheme="minorHAnsi"/>
          <w:sz w:val="28"/>
          <w:szCs w:val="28"/>
        </w:rPr>
        <w:t xml:space="preserve"> (EIGE)</w:t>
      </w:r>
      <w:bookmarkStart w:id="0" w:name="_GoBack"/>
      <w:bookmarkEnd w:id="0"/>
    </w:p>
    <w:sectPr w:rsidR="003B47B5" w:rsidRPr="00965D68" w:rsidSect="0052663F">
      <w:pgSz w:w="11906" w:h="16838"/>
      <w:pgMar w:top="993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99B1E" w14:textId="77777777" w:rsidR="009213E7" w:rsidRDefault="009213E7" w:rsidP="00952511">
      <w:pPr>
        <w:spacing w:after="0" w:line="240" w:lineRule="auto"/>
      </w:pPr>
      <w:r>
        <w:separator/>
      </w:r>
    </w:p>
  </w:endnote>
  <w:endnote w:type="continuationSeparator" w:id="0">
    <w:p w14:paraId="0A65DFF2" w14:textId="77777777" w:rsidR="009213E7" w:rsidRDefault="009213E7" w:rsidP="0095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031EC" w14:textId="77777777" w:rsidR="009213E7" w:rsidRDefault="009213E7" w:rsidP="00952511">
      <w:pPr>
        <w:spacing w:after="0" w:line="240" w:lineRule="auto"/>
      </w:pPr>
      <w:r>
        <w:separator/>
      </w:r>
    </w:p>
  </w:footnote>
  <w:footnote w:type="continuationSeparator" w:id="0">
    <w:p w14:paraId="714A69FC" w14:textId="77777777" w:rsidR="009213E7" w:rsidRDefault="009213E7" w:rsidP="0095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0E"/>
    <w:multiLevelType w:val="hybridMultilevel"/>
    <w:tmpl w:val="D4FE95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B7096"/>
    <w:multiLevelType w:val="hybridMultilevel"/>
    <w:tmpl w:val="A0EAC686"/>
    <w:lvl w:ilvl="0" w:tplc="200A7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73585"/>
    <w:multiLevelType w:val="hybridMultilevel"/>
    <w:tmpl w:val="728CF224"/>
    <w:lvl w:ilvl="0" w:tplc="35D4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9A"/>
    <w:rsid w:val="00001404"/>
    <w:rsid w:val="00087EC1"/>
    <w:rsid w:val="000F3D9A"/>
    <w:rsid w:val="00124F40"/>
    <w:rsid w:val="00176DBF"/>
    <w:rsid w:val="001A3C56"/>
    <w:rsid w:val="003316C7"/>
    <w:rsid w:val="003B47B5"/>
    <w:rsid w:val="003C4697"/>
    <w:rsid w:val="0052663F"/>
    <w:rsid w:val="00726BDC"/>
    <w:rsid w:val="00760117"/>
    <w:rsid w:val="00871A10"/>
    <w:rsid w:val="009213E7"/>
    <w:rsid w:val="00952511"/>
    <w:rsid w:val="00965D68"/>
    <w:rsid w:val="009A5788"/>
    <w:rsid w:val="00A203A2"/>
    <w:rsid w:val="00A724DD"/>
    <w:rsid w:val="00CE5117"/>
    <w:rsid w:val="00D946EA"/>
    <w:rsid w:val="00F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3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25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5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52511"/>
  </w:style>
  <w:style w:type="paragraph" w:styleId="Rodap">
    <w:name w:val="footer"/>
    <w:basedOn w:val="Normal"/>
    <w:link w:val="RodapCarcter"/>
    <w:uiPriority w:val="99"/>
    <w:unhideWhenUsed/>
    <w:rsid w:val="0095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52511"/>
  </w:style>
  <w:style w:type="character" w:customStyle="1" w:styleId="il">
    <w:name w:val="il"/>
    <w:basedOn w:val="Tipodeletrapredefinidodopargrafo"/>
    <w:rsid w:val="003316C7"/>
  </w:style>
  <w:style w:type="paragraph" w:styleId="PargrafodaLista">
    <w:name w:val="List Paragraph"/>
    <w:basedOn w:val="Normal"/>
    <w:uiPriority w:val="34"/>
    <w:qFormat/>
    <w:rsid w:val="003316C7"/>
    <w:pPr>
      <w:ind w:left="720"/>
      <w:contextualSpacing/>
    </w:pPr>
  </w:style>
  <w:style w:type="table" w:styleId="Tabelacomgrelha">
    <w:name w:val="Table Grid"/>
    <w:basedOn w:val="Tabelanormal"/>
    <w:uiPriority w:val="59"/>
    <w:rsid w:val="0087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65D6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01404"/>
    <w:rPr>
      <w:color w:val="800080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B47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25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5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52511"/>
  </w:style>
  <w:style w:type="paragraph" w:styleId="Rodap">
    <w:name w:val="footer"/>
    <w:basedOn w:val="Normal"/>
    <w:link w:val="RodapCarcter"/>
    <w:uiPriority w:val="99"/>
    <w:unhideWhenUsed/>
    <w:rsid w:val="0095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52511"/>
  </w:style>
  <w:style w:type="character" w:customStyle="1" w:styleId="il">
    <w:name w:val="il"/>
    <w:basedOn w:val="Tipodeletrapredefinidodopargrafo"/>
    <w:rsid w:val="003316C7"/>
  </w:style>
  <w:style w:type="paragraph" w:styleId="PargrafodaLista">
    <w:name w:val="List Paragraph"/>
    <w:basedOn w:val="Normal"/>
    <w:uiPriority w:val="34"/>
    <w:qFormat/>
    <w:rsid w:val="003316C7"/>
    <w:pPr>
      <w:ind w:left="720"/>
      <w:contextualSpacing/>
    </w:pPr>
  </w:style>
  <w:style w:type="table" w:styleId="Tabelacomgrelha">
    <w:name w:val="Table Grid"/>
    <w:basedOn w:val="Tabelanormal"/>
    <w:uiPriority w:val="59"/>
    <w:rsid w:val="0087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65D6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01404"/>
    <w:rPr>
      <w:color w:val="800080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B4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rdata.pt/Portug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ordata.pt/DB/Portugal/Ambiente+de+Consulta/Gr%C3%A1fi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ige.europa.eu/news/gender-equality-index-2020-can-we-wait-60-more-year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dt</cp:lastModifiedBy>
  <cp:revision>8</cp:revision>
  <cp:lastPrinted>2019-03-14T15:33:00Z</cp:lastPrinted>
  <dcterms:created xsi:type="dcterms:W3CDTF">2020-10-12T15:27:00Z</dcterms:created>
  <dcterms:modified xsi:type="dcterms:W3CDTF">2020-11-19T16:52:00Z</dcterms:modified>
</cp:coreProperties>
</file>